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8"/>
        </w:tabs>
        <w:rPr>
          <w:rFonts w:hint="default" w:ascii="仿宋" w:hAnsi="仿宋" w:eastAsia="仿宋" w:cs="仿宋"/>
          <w:kern w:val="0"/>
          <w:sz w:val="32"/>
          <w:szCs w:val="32"/>
          <w:highlight w:val="none"/>
          <w:lang w:val="en-US" w:eastAsia="zh-CN" w:bidi="ar"/>
        </w:rPr>
      </w:pPr>
      <w:r>
        <w:rPr>
          <w:rFonts w:hint="eastAsia" w:ascii="仿宋" w:hAnsi="仿宋" w:eastAsia="仿宋" w:cs="仿宋"/>
          <w:kern w:val="0"/>
          <w:sz w:val="32"/>
          <w:szCs w:val="32"/>
          <w:highlight w:val="none"/>
          <w:lang w:val="en-US" w:eastAsia="zh-CN" w:bidi="ar"/>
        </w:rPr>
        <w:t>附件1</w:t>
      </w:r>
    </w:p>
    <w:p>
      <w:pPr>
        <w:tabs>
          <w:tab w:val="left" w:pos="428"/>
        </w:tabs>
        <w:ind w:firstLine="320" w:firstLineChars="100"/>
        <w:rPr>
          <w:rFonts w:hint="eastAsia"/>
          <w:lang w:val="en-US" w:eastAsia="zh-CN"/>
        </w:rPr>
      </w:pPr>
      <w:r>
        <w:rPr>
          <w:rFonts w:hint="eastAsia" w:ascii="仿宋" w:hAnsi="仿宋" w:eastAsia="仿宋" w:cs="仿宋"/>
          <w:sz w:val="32"/>
          <w:szCs w:val="32"/>
          <w:highlight w:val="none"/>
          <w:lang w:val="en-US" w:eastAsia="zh-CN"/>
        </w:rPr>
        <w:t>辽宁</w:t>
      </w:r>
      <w:r>
        <w:rPr>
          <w:rFonts w:hint="eastAsia" w:ascii="仿宋" w:hAnsi="仿宋" w:eastAsia="仿宋" w:cs="仿宋"/>
          <w:sz w:val="32"/>
          <w:szCs w:val="32"/>
          <w:highlight w:val="none"/>
        </w:rPr>
        <w:t>大学202</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年依据台湾地区大学入学考试学科能力测试成绩招收台湾高中毕业生专业表</w:t>
      </w:r>
      <w:r>
        <w:rPr>
          <w:rFonts w:hint="eastAsia"/>
          <w:lang w:val="en-US" w:eastAsia="zh-CN"/>
        </w:rPr>
        <w:tab/>
      </w:r>
    </w:p>
    <w:p>
      <w:pPr>
        <w:tabs>
          <w:tab w:val="left" w:pos="428"/>
        </w:tabs>
        <w:rPr>
          <w:rFonts w:hint="eastAsia"/>
          <w:lang w:val="en-US" w:eastAsia="zh-CN"/>
        </w:rPr>
      </w:pPr>
    </w:p>
    <w:tbl>
      <w:tblPr>
        <w:tblStyle w:val="3"/>
        <w:tblW w:w="8430" w:type="dxa"/>
        <w:tblCellSpacing w:w="0"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22"/>
        <w:gridCol w:w="1046"/>
        <w:gridCol w:w="1692"/>
        <w:gridCol w:w="568"/>
        <w:gridCol w:w="1018"/>
        <w:gridCol w:w="1480"/>
        <w:gridCol w:w="20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2" w:hRule="atLeast"/>
          <w:tblCellSpacing w:w="0" w:type="dxa"/>
        </w:trPr>
        <w:tc>
          <w:tcPr>
            <w:tcW w:w="622" w:type="dxa"/>
            <w:tcBorders>
              <w:top w:val="single" w:color="auto" w:sz="4" w:space="0"/>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序号</w:t>
            </w:r>
          </w:p>
        </w:tc>
        <w:tc>
          <w:tcPr>
            <w:tcW w:w="104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专业代码</w:t>
            </w:r>
          </w:p>
        </w:tc>
        <w:tc>
          <w:tcPr>
            <w:tcW w:w="1692"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专业名称</w:t>
            </w:r>
          </w:p>
        </w:tc>
        <w:tc>
          <w:tcPr>
            <w:tcW w:w="568"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学制</w:t>
            </w:r>
          </w:p>
        </w:tc>
        <w:tc>
          <w:tcPr>
            <w:tcW w:w="1018"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科  类</w:t>
            </w:r>
          </w:p>
        </w:tc>
        <w:tc>
          <w:tcPr>
            <w:tcW w:w="1480"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授予学位门类</w:t>
            </w:r>
          </w:p>
        </w:tc>
        <w:tc>
          <w:tcPr>
            <w:tcW w:w="2004"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pacing w:val="-12"/>
                <w:sz w:val="24"/>
                <w:szCs w:val="24"/>
                <w:lang w:val="en-US" w:eastAsia="zh-CN"/>
              </w:rPr>
            </w:pPr>
            <w:r>
              <w:rPr>
                <w:rFonts w:hint="eastAsia" w:ascii="仿宋" w:hAnsi="仿宋" w:eastAsia="仿宋" w:cs="仿宋"/>
                <w:b/>
                <w:bCs/>
                <w:spacing w:val="-12"/>
                <w:sz w:val="24"/>
                <w:szCs w:val="24"/>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020102</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经济统计学</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2</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020201</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财政学</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3</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020301</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金融学</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020303</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保险学</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5</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020401</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国际经济与贸易</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仿宋" w:hAnsi="仿宋" w:eastAsia="仿宋" w:cs="仿宋"/>
                <w:i w:val="0"/>
                <w:color w:val="000000"/>
                <w:kern w:val="0"/>
                <w:sz w:val="21"/>
                <w:szCs w:val="21"/>
                <w:u w:val="none"/>
                <w:lang w:val="en-US" w:eastAsia="zh-CN" w:bidi="ar"/>
              </w:rPr>
              <w:t>6</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050101</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汉语言文学</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文科</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7</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050201</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英语</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仿宋" w:hAnsi="仿宋" w:eastAsia="仿宋" w:cs="仿宋"/>
                <w:i w:val="0"/>
                <w:color w:val="000000"/>
                <w:kern w:val="0"/>
                <w:sz w:val="21"/>
                <w:szCs w:val="21"/>
                <w:u w:val="none"/>
                <w:lang w:val="en-US" w:eastAsia="zh-CN" w:bidi="ar"/>
              </w:rPr>
              <w:t>8</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120201</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工商管理</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9</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120202</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市场营销</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10</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120201H</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工商管理</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新华国际商学院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11</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120202H</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市场营销</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新华国际商学院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12</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120203H</w:t>
            </w:r>
          </w:p>
        </w:tc>
        <w:tc>
          <w:tcPr>
            <w:tcW w:w="169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会计学</w:t>
            </w:r>
          </w:p>
        </w:tc>
        <w:tc>
          <w:tcPr>
            <w:tcW w:w="56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c>
          <w:tcPr>
            <w:tcW w:w="200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新华国际商学院</w:t>
            </w:r>
          </w:p>
        </w:tc>
      </w:tr>
    </w:tbl>
    <w:p>
      <w:pPr>
        <w:tabs>
          <w:tab w:val="left" w:pos="428"/>
        </w:tabs>
        <w:rPr>
          <w:rFonts w:hint="eastAsia" w:ascii="仿宋" w:hAnsi="仿宋" w:eastAsia="仿宋" w:cs="仿宋"/>
          <w:lang w:val="en-US" w:eastAsia="zh-CN"/>
        </w:rPr>
      </w:pPr>
    </w:p>
    <w:p>
      <w:pPr>
        <w:tabs>
          <w:tab w:val="left" w:pos="428"/>
        </w:tabs>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说明：</w:t>
      </w:r>
      <w:bookmarkStart w:id="0" w:name="_GoBack"/>
      <w:bookmarkEnd w:id="0"/>
    </w:p>
    <w:p>
      <w:pPr>
        <w:pStyle w:val="2"/>
        <w:keepNext w:val="0"/>
        <w:keepLines w:val="0"/>
        <w:widowControl/>
        <w:numPr>
          <w:ilvl w:val="0"/>
          <w:numId w:val="1"/>
        </w:numPr>
        <w:suppressLineNumbers w:val="0"/>
        <w:spacing w:line="360" w:lineRule="auto"/>
        <w:ind w:left="0" w:firstLine="420"/>
        <w:jc w:val="both"/>
        <w:rPr>
          <w:rFonts w:hint="eastAsia" w:ascii="仿宋" w:hAnsi="仿宋" w:eastAsia="仿宋" w:cs="仿宋"/>
          <w:sz w:val="24"/>
          <w:szCs w:val="24"/>
        </w:rPr>
      </w:pPr>
      <w:r>
        <w:rPr>
          <w:rFonts w:hint="eastAsia" w:ascii="仿宋" w:hAnsi="仿宋" w:eastAsia="仿宋" w:cs="仿宋"/>
          <w:sz w:val="24"/>
          <w:szCs w:val="24"/>
        </w:rPr>
        <w:t>新华国际商学院是辽宁大学与英国德蒙福特大学（De Montfort University,简称“德大”)、新华集团合作建立，以培养英语沟通能力出色、熟悉国际规则、适宜到大型企业和跨国公司从事管理工作的国际化、复合型人才为目标的新型学院。学生可选择在辽宁大学读两年或读三年后去英国学习（在辽大修满学分、成绩合格），也可以大学四年全部在辽宁大学学习。出国攻读会计学专业必须完成国内两年学业且成绩合格后，才可赴英国“德大”完成后两年学业。在德大学习的会计专业的学生最多可免考ACCA（国际注册会计师）资格认证考试中的9个科目。</w:t>
      </w:r>
    </w:p>
    <w:p>
      <w:pPr>
        <w:tabs>
          <w:tab w:val="left" w:pos="428"/>
        </w:tabs>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07D030"/>
    <w:multiLevelType w:val="singleLevel"/>
    <w:tmpl w:val="6607D03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DD5B4D"/>
    <w:rsid w:val="02804B67"/>
    <w:rsid w:val="037757F2"/>
    <w:rsid w:val="0F112D09"/>
    <w:rsid w:val="130E7790"/>
    <w:rsid w:val="22014038"/>
    <w:rsid w:val="3A74127F"/>
    <w:rsid w:val="4ADD5B4D"/>
    <w:rsid w:val="5F835C89"/>
    <w:rsid w:val="63607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qFormat/>
    <w:uiPriority w:val="0"/>
    <w:rPr>
      <w:color w:val="474747"/>
      <w:sz w:val="14"/>
      <w:szCs w:val="14"/>
      <w:u w:val="none"/>
    </w:rPr>
  </w:style>
  <w:style w:type="character" w:styleId="6">
    <w:name w:val="Hyperlink"/>
    <w:basedOn w:val="4"/>
    <w:qFormat/>
    <w:uiPriority w:val="0"/>
    <w:rPr>
      <w:color w:val="474747"/>
      <w:sz w:val="14"/>
      <w:szCs w:val="1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2021-02-25T12:30:00Z</dcterms:created>
  <dc:creator>段亚茹</dc:creator>
  <cp:lastModifiedBy>段亚茹</cp:lastModifiedBy>
  <dcterms:modified xsi:type="dcterms:W3CDTF">2022-02-20T08:43:22Z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6C08D92B1C664943BEF1AE8B7ADF13FF</vt:lpwstr>
  </property>
</Properties>
</file>